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אורות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התשובה</w:t>
      </w:r>
    </w:p>
    <w:p w:rsidR="00000000" w:rsidDel="00000000" w:rsidP="00000000" w:rsidRDefault="00000000" w:rsidRPr="00000000" w14:paraId="00000002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'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טבעית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אמונית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שכלית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הטבעית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הגופנית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המקושרים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ומכאובים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והכללי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בהנהגתו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רעננותם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המדיצינה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נשתכללה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הגופנית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וכחותיו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והשכלית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הטבעית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הנפשית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והרוחנית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שקוראים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כליות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וכשסר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כשנפל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בחטא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מדאיב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מזדרז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וחצוניים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האמונית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בתשובה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חטאות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הנביאים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במעמקיה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b w:val="1"/>
          <w:rtl w:val="1"/>
        </w:rPr>
        <w:t xml:space="preserve">התשובה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השכלית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והקבלה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מהשקפת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רשומיה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מהקודמות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השגיאות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נהדרות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נשואות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ושסופה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'</w:t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פתאומית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הדרגית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פתאומית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הדרגית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b w:val="1"/>
          <w:rtl w:val="1"/>
        </w:rPr>
        <w:t xml:space="preserve">הפתאומית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נתיבותיה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תעלומה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וישנה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הדרגתית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מחשבותיו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ובמהלכו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ותיקון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b w:val="1"/>
          <w:rtl w:val="1"/>
        </w:rPr>
        <w:t xml:space="preserve">התשובה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העליונה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מהברקה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מצטיירת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לספוג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מהתאמתנו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ג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'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פרטית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מפורשת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סתמית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כללית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מכוונת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ומתחרט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ומצטער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מטפסת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משתחרר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הנעימה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הנהלאה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ומתרפא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החסד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שולחים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ומתאשר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ודשן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מדוכאה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הכמהה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ברכי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תשכחי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הסולח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תחלואיכי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חייכי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המעטרכי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ורחמים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נעוריכי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ומשפטים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עשוקים</w:t>
      </w:r>
      <w:r w:rsidDel="00000000" w:rsidR="00000000" w:rsidRPr="00000000">
        <w:rPr>
          <w:rtl w:val="1"/>
        </w:rPr>
        <w:t xml:space="preserve">". (</w:t>
      </w:r>
      <w:r w:rsidDel="00000000" w:rsidR="00000000" w:rsidRPr="00000000">
        <w:rPr>
          <w:rtl w:val="1"/>
        </w:rPr>
        <w:t xml:space="preserve">תהילים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הוי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קדרותו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גסותו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וסחופה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לחבל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מדולדל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ויבש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מעושקה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כשרה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שובי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למנוחיכי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גמל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עליכי</w:t>
      </w:r>
      <w:r w:rsidDel="00000000" w:rsidR="00000000" w:rsidRPr="00000000">
        <w:rPr>
          <w:rtl w:val="1"/>
        </w:rPr>
        <w:t xml:space="preserve">". (</w:t>
      </w:r>
      <w:r w:rsidDel="00000000" w:rsidR="00000000" w:rsidRPr="00000000">
        <w:rPr>
          <w:rtl w:val="1"/>
        </w:rPr>
        <w:t xml:space="preserve">תהלים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וישנה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סתמית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כללית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מדוכא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אטום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והרצויה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הראויה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השכלתו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רגשותיו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מעורבבים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וצמאון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מתביש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מתמרמר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סמיכותה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והמסורת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ברפואה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בתחיה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ותחנונים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כאיש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תנחמנו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אנחמכם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ישעיהו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הרגשתו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מחוורת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ונוהר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חלפו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לבבו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בנחלי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ודשן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מצמאונה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פשעיו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הידועים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יומא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).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